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embeddings/oleObject2.bin" ContentType="application/vnd.openxmlformats-officedocument.oleObject"/>
  <Override PartName="/word/embeddings/oleObject1.bin" ContentType="application/vnd.openxmlformats-officedocument.oleObject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8.png" ContentType="image/png"/>
  <Override PartName="/word/media/image7.png" ContentType="image/png"/>
  <Override PartName="/word/media/image6.png" ContentType="image/png"/>
  <Override PartName="/word/media/image5.png" ContentType="image/png"/>
  <Override PartName="/word/media/image4.wmf" ContentType="image/x-wmf"/>
  <Override PartName="/word/media/image3.wmf" ContentType="image/x-wmf"/>
  <Override PartName="/word/media/image2.png" ContentType="image/png"/>
  <Override PartName="/word/media/image1.png" ContentType="image/png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A000-US-TN-Mississippian Pot-Human Effigy-Female-900 CE</w:t>
      </w:r>
    </w:p>
    <w:p>
      <w:pPr>
        <w:pStyle w:val="Normal"/>
        <w:rPr/>
      </w:pPr>
      <w:r>
        <w:rPr/>
        <w:drawing>
          <wp:inline distT="0" distB="0" distL="0" distR="0">
            <wp:extent cx="3429000" cy="4297680"/>
            <wp:effectExtent l="0" t="0" r="0" b="0"/>
            <wp:docPr id="1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-4" t="2993" r="-4" b="29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3509010" cy="4312920"/>
            <wp:effectExtent l="0" t="0" r="0" b="0"/>
            <wp:docPr id="2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-4" t="-3" r="-4" b="77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01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US-TN-Mississippian-Pot-Human Effigy-Femal-900 CE</w:t>
      </w:r>
    </w:p>
    <w:p>
      <w:pPr>
        <w:pStyle w:val="Normal"/>
        <w:rPr/>
      </w:pPr>
      <w:r>
        <w:rPr>
          <w:rStyle w:val="StrongEmphasis"/>
        </w:rPr>
        <w:t>Case No.: 12</w:t>
      </w:r>
    </w:p>
    <w:p>
      <w:pPr>
        <w:pStyle w:val="Normal"/>
        <w:rPr/>
      </w:pPr>
      <w:r>
        <w:rPr>
          <w:b/>
        </w:rPr>
        <w:t>Accession No.</w:t>
      </w:r>
    </w:p>
    <w:p>
      <w:pPr>
        <w:pStyle w:val="Normal"/>
        <w:rPr>
          <w:b/>
          <w:b/>
        </w:rPr>
      </w:pPr>
      <w:r>
        <w:rPr>
          <w:b/>
        </w:rPr>
        <w:t xml:space="preserve">Formal Label: </w:t>
      </w:r>
      <w:r>
        <w:rPr/>
        <w:t>US-TN-Mississippian-Pot-Human Effigy-Femal-900 CE</w:t>
      </w:r>
    </w:p>
    <w:p>
      <w:pPr>
        <w:pStyle w:val="Normal"/>
        <w:rPr>
          <w:b/>
          <w:b/>
        </w:rPr>
      </w:pPr>
      <w:r>
        <w:rPr>
          <w:b/>
        </w:rPr>
        <w:t>Display Description:</w:t>
      </w:r>
    </w:p>
    <w:p>
      <w:pPr>
        <w:pStyle w:val="Normal"/>
        <w:rPr>
          <w:b/>
          <w:b/>
        </w:rPr>
      </w:pPr>
      <w:r>
        <w:rPr/>
        <w:t xml:space="preserve">Mississippian human effigy pot, woven headdress, scarifications on face, ca. 100-1300 CE, </w:t>
      </w:r>
    </w:p>
    <w:p>
      <w:pPr>
        <w:pStyle w:val="Normal"/>
        <w:rPr/>
      </w:pPr>
      <w:r>
        <w:rPr/>
        <w:object>
          <v:shape id="ole_rId4" style="width:215.9pt;height:216.25pt" o:ole="">
            <v:imagedata r:id="rId5" o:title=""/>
          </v:shape>
          <o:OLEObject Type="Embed" ProgID="" ShapeID="ole_rId4" DrawAspect="Content" ObjectID="_1202310866" r:id="rId4"/>
        </w:object>
      </w:r>
    </w:p>
    <w:p>
      <w:pPr>
        <w:pStyle w:val="Normal"/>
        <w:rPr/>
      </w:pPr>
      <w:r>
        <w:rPr/>
        <w:t>A similar effigy pot was found at Hales Point, TN, (8.75 x 6.75 in, Moore 1916:496).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Keven E. Smith identified two different types of “Flint-Clay” statues in the Tennessee-Cumberland region: the Ancestral Pair and the Old Woman (or Corn Mother or Earth Mother or Old Woman Who Never Dies [a Mandan-Hidatsa figure]) of which this statuary may be an example of the latter (Smith 2009:31). The Old Woman is a complex mythological figure that has its origins in the central Mississippian culture that is known because the flint-clay of many of these figurines has been sourced to the Cahokia area (Emerson 1982, 1985, 1995, 1997; Emerson and Hughes 2000, Emerson et al. 2003). Therefore, the recovery of this ceramic statuary of Old Woman from Hale’s Point, Tennessee, indicates that it is a product of diffusion from the core area of Cahokia. Hale’s Point, now destroyed by river flooding, is famous for having belonged to a group of western TN late Mississippian sites with urn burials of a rectangular shape (Thurston 1890:29-31). This ceramic may have been associated with one of these burials.</w:t>
      </w:r>
    </w:p>
    <w:p>
      <w:pPr>
        <w:pStyle w:val="Normal"/>
        <w:shd w:fill="FFFFFF" w:val="clear"/>
        <w:spacing w:before="280" w:after="280"/>
        <w:rPr/>
      </w:pPr>
      <w:r>
        <w:rPr>
          <w:b/>
        </w:rPr>
        <w:t xml:space="preserve">LC Classification: </w:t>
      </w:r>
      <w:r>
        <w:rPr/>
        <w:t>E99.M6815</w:t>
      </w:r>
    </w:p>
    <w:p>
      <w:pPr>
        <w:pStyle w:val="Normal"/>
        <w:rPr>
          <w:b/>
          <w:b/>
        </w:rPr>
      </w:pPr>
      <w:r>
        <w:rPr>
          <w:b/>
        </w:rPr>
        <w:t>Date or Time Horizon: 900 CE</w:t>
      </w:r>
    </w:p>
    <w:p>
      <w:pPr>
        <w:pStyle w:val="Normal"/>
        <w:rPr>
          <w:b/>
          <w:b/>
        </w:rPr>
      </w:pPr>
      <w:r>
        <w:rPr>
          <w:b/>
        </w:rPr>
        <w:t xml:space="preserve">Geographical Area: </w:t>
      </w:r>
      <w:r>
        <w:rPr/>
        <w:t>possibly near Hales Point, TN</w:t>
      </w:r>
    </w:p>
    <w:p>
      <w:pPr>
        <w:pStyle w:val="Normal"/>
        <w:rPr>
          <w:b/>
          <w:b/>
        </w:rPr>
      </w:pPr>
      <w:r>
        <w:rPr>
          <w:b/>
        </w:rPr>
        <w:t xml:space="preserve">Map: after </w:t>
      </w:r>
      <w:r>
        <w:rPr/>
        <w:t>Moore 1916.</w:t>
      </w:r>
    </w:p>
    <w:p>
      <w:pPr>
        <w:pStyle w:val="Normal"/>
        <w:rPr>
          <w:b/>
          <w:b/>
        </w:rPr>
      </w:pPr>
      <w:r>
        <w:rPr/>
        <w:object>
          <v:shape id="ole_rId6" style="width:553.85pt;height:237.7pt" o:ole="">
            <v:imagedata r:id="rId7" o:title=""/>
          </v:shape>
          <o:OLEObject Type="Embed" ProgID="" ShapeID="ole_rId6" DrawAspect="Content" ObjectID="_1889574965" r:id="rId6"/>
        </w:object>
      </w:r>
    </w:p>
    <w:p>
      <w:pPr>
        <w:pStyle w:val="Normal"/>
        <w:rPr>
          <w:color w:val="000000"/>
        </w:rPr>
      </w:pPr>
      <w:r>
        <w:rPr>
          <w:color w:val="000000"/>
        </w:rPr>
        <w:drawing>
          <wp:inline distT="0" distB="0" distL="0" distR="0">
            <wp:extent cx="7038340" cy="3252470"/>
            <wp:effectExtent l="0" t="0" r="0" b="0"/>
            <wp:docPr id="3" name="Picture 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 descr="" title="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grayscl/>
                    </a:blip>
                    <a:srcRect l="-6" t="-13" r="-6" b="-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834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color w:val="000000"/>
          <w:lang w:val="en-US" w:eastAsia="en-US"/>
        </w:rPr>
      </w:pPr>
      <w:r>
        <w:rPr>
          <w:color w:val="000000"/>
          <w:lang w:val="en-US" w:eastAsia="en-US"/>
        </w:rPr>
      </w:r>
    </w:p>
    <w:p>
      <w:pPr>
        <w:pStyle w:val="Normal"/>
        <w:rPr>
          <w:b/>
          <w:b/>
        </w:rPr>
      </w:pPr>
      <w:r>
        <w:rPr>
          <w:lang w:val="en-US" w:eastAsia="en-US"/>
        </w:rPr>
        <w:t xml:space="preserve">From </w:t>
      </w:r>
      <w:r>
        <w:rPr>
          <w:b/>
        </w:rPr>
        <w:t>Moore 1916.</w:t>
      </w:r>
    </w:p>
    <w:p>
      <w:pPr>
        <w:pStyle w:val="Normal"/>
        <w:rPr>
          <w:b/>
          <w:b/>
        </w:rPr>
      </w:pPr>
      <w:r>
        <w:rPr>
          <w:b/>
        </w:rPr>
        <w:t>GPS coordinates:</w:t>
      </w:r>
    </w:p>
    <w:p>
      <w:pPr>
        <w:pStyle w:val="Normal"/>
        <w:rPr>
          <w:b/>
          <w:b/>
        </w:rPr>
      </w:pPr>
      <w:r>
        <w:rPr>
          <w:b/>
        </w:rPr>
        <w:t xml:space="preserve">Cultural Affiliation: </w:t>
      </w:r>
    </w:p>
    <w:p>
      <w:pPr>
        <w:pStyle w:val="Normal"/>
        <w:rPr>
          <w:b/>
          <w:b/>
        </w:rPr>
      </w:pPr>
      <w:r>
        <w:rPr>
          <w:b/>
        </w:rPr>
        <w:t>Medium: clay</w:t>
      </w:r>
    </w:p>
    <w:p>
      <w:pPr>
        <w:pStyle w:val="Normal"/>
        <w:rPr/>
      </w:pPr>
      <w:r>
        <w:rPr>
          <w:b/>
        </w:rPr>
        <w:t xml:space="preserve">Dimensions: </w:t>
      </w:r>
      <w:r>
        <w:rPr/>
        <w:t>13.5 inches high by 11 inches wide and 11 inches deep.</w:t>
      </w:r>
    </w:p>
    <w:p>
      <w:pPr>
        <w:pStyle w:val="Normal"/>
        <w:rPr>
          <w:b/>
          <w:b/>
        </w:rPr>
      </w:pPr>
      <w:r>
        <w:rPr>
          <w:b/>
        </w:rPr>
        <w:t xml:space="preserve">Weight:  </w:t>
      </w:r>
    </w:p>
    <w:p>
      <w:pPr>
        <w:pStyle w:val="Normal"/>
        <w:rPr>
          <w:b/>
          <w:b/>
        </w:rPr>
      </w:pPr>
      <w:r>
        <w:rPr>
          <w:b/>
        </w:rPr>
        <w:t>Condition: original</w:t>
      </w:r>
    </w:p>
    <w:p>
      <w:pPr>
        <w:pStyle w:val="Normal"/>
        <w:rPr>
          <w:b/>
          <w:b/>
        </w:rPr>
      </w:pPr>
      <w:r>
        <w:rPr>
          <w:b/>
        </w:rPr>
        <w:t xml:space="preserve">Provenance: </w:t>
      </w:r>
    </w:p>
    <w:p>
      <w:pPr>
        <w:pStyle w:val="Normal"/>
        <w:rPr>
          <w:b/>
          <w:b/>
        </w:rPr>
      </w:pPr>
      <w:r>
        <w:rPr>
          <w:b/>
        </w:rPr>
        <w:t>Discussion:</w:t>
      </w:r>
    </w:p>
    <w:p>
      <w:pPr>
        <w:pStyle w:val="Normal"/>
        <w:rPr>
          <w:b/>
          <w:b/>
        </w:rPr>
      </w:pPr>
      <w:r>
        <w:rPr>
          <w:b/>
        </w:rPr>
        <w:t>References:</w:t>
      </w:r>
    </w:p>
    <w:p>
      <w:pPr>
        <w:pStyle w:val="Normal"/>
        <w:rPr/>
      </w:pPr>
      <w:r>
        <w:rPr/>
        <w:t xml:space="preserve">Beckwith, Martha Warren. 1932. </w:t>
      </w:r>
      <w:r>
        <w:rPr>
          <w:i/>
        </w:rPr>
        <w:t>Myths and Ceremonies of the Mandan and Hidatsa</w:t>
      </w:r>
      <w:r>
        <w:rPr/>
        <w:t xml:space="preserve">. Vol. 2. Vassar College, New York. 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</w:rPr>
      </w:pPr>
      <w:r>
        <w:rPr/>
        <w:t xml:space="preserve">Beckwith, Martha Warren. 1938. Mandan-Hidatsa Myths and Ceremonies. </w:t>
      </w:r>
      <w:r>
        <w:rPr>
          <w:i/>
        </w:rPr>
        <w:t>The American Folk-Lore Society</w:t>
      </w:r>
      <w:r>
        <w:rPr/>
        <w:t>. J. J. Augustin, New York.</w:t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/>
      </w:pPr>
      <w:r>
        <w:rPr/>
        <w:t xml:space="preserve">Emerson, Thomas E. 1982 </w:t>
      </w:r>
      <w:r>
        <w:rPr>
          <w:i/>
        </w:rPr>
        <w:t>Mississippian Stone Images in Illinois</w:t>
      </w:r>
      <w:r>
        <w:rPr/>
        <w:t xml:space="preserve">. Urbana: Illinois Archaeological Survey Circular 6.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Emerson, Thomas E. 1989. Water, Serpents, and the Underworld: An Exploration into Cahokia Symbolism. In </w:t>
      </w:r>
      <w:r>
        <w:rPr>
          <w:i/>
        </w:rPr>
        <w:t>The</w:t>
      </w:r>
      <w:r>
        <w:rPr/>
        <w:t xml:space="preserve"> </w:t>
      </w:r>
      <w:r>
        <w:rPr>
          <w:i/>
        </w:rPr>
        <w:t>Southeastern Ceremonial Complex: Artifacts and Analysis</w:t>
      </w:r>
      <w:r>
        <w:rPr/>
        <w:t xml:space="preserve">. P. Galloway, ed. Pp. 45-92. Lincoln: University of Nebraska Press.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Emerson, Thomas E. 1997. </w:t>
      </w:r>
      <w:r>
        <w:rPr>
          <w:i/>
        </w:rPr>
        <w:t>Cahokia and the Archaeology of Power</w:t>
      </w:r>
      <w:r>
        <w:rPr/>
        <w:t xml:space="preserve">. University of Alabama Press, Tuscaloosa.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Emerson, Thomas E., and Steven L. Boles. 2010. Contextualizing Flint Clay Cahokia Figures at the East St. Louis Mound Center. </w:t>
      </w:r>
      <w:r>
        <w:rPr>
          <w:i/>
        </w:rPr>
        <w:t>Illinois Archaeological Survey</w:t>
      </w:r>
      <w:r>
        <w:rPr/>
        <w:t xml:space="preserve"> 22(2):473-490. 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</w:rPr>
      </w:pPr>
      <w:r>
        <w:rPr/>
        <w:t xml:space="preserve">Emerson, Thomas E., and Randall E. Hughes. 2000. Figurines, Flint Clay Sourcing, the Ozark Highlands, and Cahokian Acquisition. </w:t>
      </w:r>
      <w:r>
        <w:rPr>
          <w:i/>
        </w:rPr>
        <w:t>American Antiquity</w:t>
      </w:r>
      <w:r>
        <w:rPr/>
        <w:t xml:space="preserve"> 65:79-101.</w:t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/>
      </w:pPr>
      <w:r>
        <w:rPr/>
        <w:t xml:space="preserve">Emerson, Thomas E., and Douglas K. Jackson. 1984. </w:t>
      </w:r>
      <w:r>
        <w:rPr>
          <w:i/>
        </w:rPr>
        <w:t>The BBB Motor Site</w:t>
      </w:r>
      <w:r>
        <w:rPr/>
        <w:t xml:space="preserve">. Urbana: University of Illinois Press.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Emerson, Thomas E., Randall E. Hughes, Mary R. Hynes, and Sarah U. Wisseman. 2002 Implications of Sourcing Cahokia-Style Flint Clay Figures in the American Bottom and the Upper Mississippi River Valley. </w:t>
      </w:r>
      <w:r>
        <w:rPr>
          <w:i/>
        </w:rPr>
        <w:t>Midcontinental Journal of Archaeology</w:t>
      </w:r>
      <w:r>
        <w:rPr/>
        <w:t xml:space="preserve"> 27(2):309-338.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Emerson, Thomas E., Randall E. Hughes, Mary R. Hynes, and Sarah U. Wisseman. 2003. The Sourcing and Interpretation of Cahokia-Style Figurines in the Trans-Mississippi South and Southeast. </w:t>
      </w:r>
      <w:r>
        <w:rPr>
          <w:i/>
        </w:rPr>
        <w:t>American Antiquity</w:t>
      </w:r>
      <w:r>
        <w:rPr/>
        <w:t xml:space="preserve"> 68(2):287-313.</w:t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/>
      </w:pPr>
      <w:r>
        <w:rPr/>
        <w:t xml:space="preserve">Keller, W.D. 1968. Flint Clay and a Flint-Clay Facies, </w:t>
      </w:r>
      <w:r>
        <w:rPr>
          <w:i/>
        </w:rPr>
        <w:t>Clays and Clay Minerals</w:t>
      </w:r>
      <w:r>
        <w:rPr/>
        <w:t>, 1968, Vol. 16, pp. 113-128. Pergamon Press.</w:t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/>
      </w:pPr>
      <w:r>
        <w:rPr/>
        <w:t xml:space="preserve">Moore, Clarence B. 1019. </w:t>
      </w:r>
      <w:r>
        <w:rPr>
          <w:i/>
        </w:rPr>
        <w:t>Some Aboriginal Sites on Green River Kentucky, Certain Aboriginal Sites on Lower Ohio River, Additional Investigation on Mississippi River</w:t>
      </w:r>
      <w:r>
        <w:rPr/>
        <w:t>, Reprinted from the Journal of the Academy of Natural Sciences, Philadelphia, Vol. XVI. Philadelphia.</w:t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/>
      </w:pPr>
      <w:r>
        <w:rPr>
          <w:b/>
        </w:rPr>
        <w:t>Appendix:</w:t>
      </w:r>
      <w:r>
        <w:rPr/>
        <w:t xml:space="preserve"> additional views</w:t>
      </w:r>
    </w:p>
    <w:p>
      <w:pPr>
        <w:pStyle w:val="Normal"/>
        <w:tabs>
          <w:tab w:val="clear" w:pos="720"/>
          <w:tab w:val="left" w:pos="6720" w:leader="none"/>
        </w:tabs>
        <w:rPr/>
      </w:pPr>
      <w:r>
        <w:rPr/>
        <w:drawing>
          <wp:inline distT="0" distB="0" distL="0" distR="0">
            <wp:extent cx="4354830" cy="5806440"/>
            <wp:effectExtent l="0" t="0" r="0" b="0"/>
            <wp:docPr id="4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-4" t="-3" r="-4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830" cy="580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</w:rPr>
        <w:t xml:space="preserve"> </w:t>
      </w:r>
      <w:r>
        <w:rPr/>
        <w:drawing>
          <wp:inline distT="0" distB="0" distL="0" distR="0">
            <wp:extent cx="3497580" cy="4663440"/>
            <wp:effectExtent l="0" t="0" r="0" b="0"/>
            <wp:docPr id="5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-4" t="-3" r="-4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80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</w:rPr>
        <w:t xml:space="preserve"> </w:t>
      </w:r>
      <w:r>
        <w:rPr/>
        <w:drawing>
          <wp:inline distT="0" distB="0" distL="0" distR="0">
            <wp:extent cx="4983480" cy="6644640"/>
            <wp:effectExtent l="0" t="0" r="0" b="0"/>
            <wp:docPr id="6" name="Image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-4" t="-3" r="-4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664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Normal"/>
        <w:tabs>
          <w:tab w:val="clear" w:pos="720"/>
          <w:tab w:val="left" w:pos="6720" w:leader="none"/>
        </w:tabs>
        <w:rPr/>
      </w:pPr>
      <w:r>
        <w:rPr/>
      </w:r>
    </w:p>
    <w:p>
      <w:pPr>
        <w:pStyle w:val="Normal"/>
        <w:rPr/>
      </w:pPr>
      <w:r>
        <w:rPr/>
      </w:r>
    </w:p>
    <w:sectPr>
      <w:type w:val="nextPage"/>
      <w:pgSz w:w="12240" w:h="15840"/>
      <w:pgMar w:left="576" w:right="576" w:header="0" w:top="576" w:footer="0" w:bottom="576" w:gutter="0"/>
      <w:pgNumType w:fmt="decimal"/>
      <w:formProt w:val="false"/>
      <w:titlePg/>
      <w:textDirection w:val="lrTb"/>
      <w:docGrid w:type="default" w:linePitch="326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Courier New">
    <w:charset w:val="00" w:characterSet="windows-1252"/>
    <w:family w:val="modern"/>
    <w:pitch w:val="default"/>
  </w:font>
  <w:font w:name="Wingdings">
    <w:charset w:val="02"/>
    <w:family w:val="auto"/>
    <w:pitch w:val="variable"/>
  </w:font>
  <w:font w:name="Liberation Sans">
    <w:altName w:val="Arial"/>
    <w:charset w:val="01" w:characterSet="utf-8"/>
    <w:family w:val="swiss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none"/>
      <w:suff w:val="nothing"/>
      <w:lvlText w:val=""/>
      <w:lvlJc w:val="start"/>
      <w:pPr>
        <w:ind w:start="0" w:hanging="0"/>
      </w:pPr>
    </w:lvl>
    <w:lvl w:ilvl="1">
      <w:start w:val="1"/>
      <w:pStyle w:val="Heading2"/>
      <w:numFmt w:val="none"/>
      <w:suff w:val="nothing"/>
      <w:lvlText w:val=""/>
      <w:lvlJc w:val="start"/>
      <w:pPr>
        <w:ind w:start="0" w:hanging="0"/>
      </w:pPr>
    </w:lvl>
    <w:lvl w:ilvl="2">
      <w:start w:val="1"/>
      <w:numFmt w:val="none"/>
      <w:suff w:val="nothing"/>
      <w:lvlText w:val=""/>
      <w:lvlJc w:val="start"/>
      <w:pPr>
        <w:ind w:start="0" w:hanging="0"/>
      </w:pPr>
    </w:lvl>
    <w:lvl w:ilvl="3">
      <w:start w:val="1"/>
      <w:numFmt w:val="none"/>
      <w:suff w:val="nothing"/>
      <w:lvlText w:val=""/>
      <w:lvlJc w:val="start"/>
      <w:pPr>
        <w:ind w:start="0" w:hanging="0"/>
      </w:pPr>
    </w:lvl>
    <w:lvl w:ilvl="4">
      <w:start w:val="1"/>
      <w:numFmt w:val="none"/>
      <w:suff w:val="nothing"/>
      <w:lvlText w:val=""/>
      <w:lvlJc w:val="start"/>
      <w:pPr>
        <w:ind w:start="0" w:hanging="0"/>
      </w:pPr>
    </w:lvl>
    <w:lvl w:ilvl="5">
      <w:start w:val="1"/>
      <w:numFmt w:val="none"/>
      <w:suff w:val="nothing"/>
      <w:lvlText w:val=""/>
      <w:lvlJc w:val="start"/>
      <w:pPr>
        <w:ind w:start="0" w:hanging="0"/>
      </w:pPr>
    </w:lvl>
    <w:lvl w:ilvl="6">
      <w:start w:val="1"/>
      <w:numFmt w:val="none"/>
      <w:suff w:val="nothing"/>
      <w:lvlText w:val=""/>
      <w:lvlJc w:val="start"/>
      <w:pPr>
        <w:ind w:start="0" w:hanging="0"/>
      </w:pPr>
    </w:lvl>
    <w:lvl w:ilvl="7">
      <w:start w:val="1"/>
      <w:numFmt w:val="none"/>
      <w:suff w:val="nothing"/>
      <w:lvlText w:val=""/>
      <w:lvlJc w:val="start"/>
      <w:pPr>
        <w:ind w:start="0" w:hanging="0"/>
      </w:pPr>
    </w:lvl>
    <w:lvl w:ilvl="8">
      <w:start w:val="1"/>
      <w:numFmt w:val="none"/>
      <w:suff w:val="nothing"/>
      <w:lvlText w:val=""/>
      <w:lvlJc w:val="start"/>
      <w:pPr>
        <w:ind w:start="0" w:hanging="0"/>
      </w:pPr>
    </w:lvl>
  </w:abstractNum>
  <w:num w:numId="1">
    <w:abstractNumId w:val="1"/>
  </w:num>
</w:numbering>
</file>

<file path=word/settings.xml><?xml version="1.0" encoding="utf-8"?>
<w:settings xmlns:w="http://schemas.openxmlformats.org/wordprocessingml/2006/main">
  <w:zoom w:percent="100"/>
  <w:defaultTabStop w:val="720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ongti SC" w:cs="Arial Unicode MS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</w:pPr>
    <w:rPr>
      <w:rFonts w:ascii="Times New Roman" w:hAnsi="Times New Roman" w:eastAsia="SimSun;宋体" w:cs="Times New Roman"/>
      <w:color w:val="auto"/>
      <w:sz w:val="24"/>
      <w:szCs w:val="24"/>
      <w:lang w:val="en-US" w:eastAsia="zh-CN" w:bidi="ar-SA"/>
    </w:rPr>
  </w:style>
  <w:style w:type="paragraph" w:styleId="Heading2">
    <w:name w:val="Heading 2"/>
    <w:basedOn w:val="Normal"/>
    <w:next w:val="TextBody"/>
    <w:qFormat/>
    <w:pPr>
      <w:numPr>
        <w:ilvl w:val="1"/>
        <w:numId w:val="1"/>
      </w:numPr>
      <w:spacing w:before="280" w:after="280"/>
      <w:outlineLvl w:val="1"/>
    </w:pPr>
    <w:rPr>
      <w:b/>
      <w:bCs/>
      <w:sz w:val="36"/>
      <w:szCs w:val="36"/>
    </w:rPr>
  </w:style>
  <w:style w:type="character" w:styleId="WW8Num1z0">
    <w:name w:val="WW8Num1z0"/>
    <w:qFormat/>
    <w:rPr>
      <w:rFonts w:ascii="Symbol" w:hAnsi="Symbol" w:cs="Symbol"/>
      <w:sz w:val="20"/>
    </w:rPr>
  </w:style>
  <w:style w:type="character" w:styleId="WW8Num1z1">
    <w:name w:val="WW8Num1z1"/>
    <w:qFormat/>
    <w:rPr>
      <w:rFonts w:ascii="Courier New" w:hAnsi="Courier New" w:cs="Courier New"/>
      <w:sz w:val="20"/>
    </w:rPr>
  </w:style>
  <w:style w:type="character" w:styleId="WW8Num1z2">
    <w:name w:val="WW8Num1z2"/>
    <w:qFormat/>
    <w:rPr>
      <w:rFonts w:ascii="Wingdings" w:hAnsi="Wingdings" w:cs="Wingdings"/>
      <w:sz w:val="20"/>
    </w:rPr>
  </w:style>
  <w:style w:type="character" w:styleId="DefaultParagraphFont">
    <w:name w:val="Default Paragraph Font"/>
    <w:qFormat/>
    <w:rPr/>
  </w:style>
  <w:style w:type="character" w:styleId="Orderdetailsalignprinterversion">
    <w:name w:val="orderdetails_alignprinterversion"/>
    <w:basedOn w:val="DefaultParagraphFont"/>
    <w:qFormat/>
    <w:rPr/>
  </w:style>
  <w:style w:type="character" w:styleId="InternetLink">
    <w:name w:val="Internet Link"/>
    <w:rPr>
      <w:color w:val="0000FF"/>
      <w:u w:val="single"/>
    </w:rPr>
  </w:style>
  <w:style w:type="character" w:styleId="Mbgnw">
    <w:name w:val="mbg-nw"/>
    <w:basedOn w:val="DefaultParagraphFont"/>
    <w:qFormat/>
    <w:rPr/>
  </w:style>
  <w:style w:type="character" w:styleId="Mbgl">
    <w:name w:val="mbg-l"/>
    <w:basedOn w:val="DefaultParagraphFont"/>
    <w:qFormat/>
    <w:rPr/>
  </w:style>
  <w:style w:type="character" w:styleId="VisitedInternetLink">
    <w:name w:val="Visited Internet Link"/>
    <w:rPr>
      <w:color w:val="800080"/>
      <w:u w:val="single"/>
    </w:rPr>
  </w:style>
  <w:style w:type="character" w:styleId="StrongEmphasis">
    <w:name w:val="Strong Emphasis"/>
    <w:qFormat/>
    <w:rPr>
      <w:b/>
      <w:bCs/>
    </w:rPr>
  </w:style>
  <w:style w:type="character" w:styleId="Itemaccessionnumber">
    <w:name w:val="itemaccessionnumber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 Unicode MS"/>
    </w:rPr>
  </w:style>
  <w:style w:type="paragraph" w:styleId="HTMLPreformatted">
    <w:name w:val="HTML Preformatted"/>
    <w:basedOn w:val="Normal"/>
    <w:qFormat/>
    <w:pPr>
      <w:tabs>
        <w:tab w:val="clear" w:pos="720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</w:pPr>
    <w:rPr>
      <w:rFonts w:ascii="Courier New" w:hAnsi="Courier New" w:cs="Courier New"/>
      <w:sz w:val="20"/>
      <w:szCs w:val="20"/>
    </w:rPr>
  </w:style>
  <w:style w:type="numbering" w:styleId="WW8Num1">
    <w:name w:val="WW8Num1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oleObject" Target="embeddings/oleObject1.bin"/><Relationship Id="rId5" Type="http://schemas.openxmlformats.org/officeDocument/2006/relationships/image" Target="media/image3.wmf"/><Relationship Id="rId6" Type="http://schemas.openxmlformats.org/officeDocument/2006/relationships/oleObject" Target="embeddings/oleObject2.bin"/><Relationship Id="rId7" Type="http://schemas.openxmlformats.org/officeDocument/2006/relationships/image" Target="media/image4.wmf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numbering" Target="numbering.xml"/><Relationship Id="rId13" Type="http://schemas.openxmlformats.org/officeDocument/2006/relationships/fontTable" Target="fontTable.xml"/><Relationship Id="rId14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Application>LibreOffice/6.1.4.2$MacOSX_X86_64 LibreOffice_project/9d0f32d1f0b509096fd65e0d4bec26ddd1938fd3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2018-09-01T12:16:00Z</dcterms:created>
  <dc:creator>USER</dc:creator>
  <dc:description/>
  <cp:keywords/>
  <dc:language>en-US</dc:language>
  <cp:lastModifiedBy>Ralph Coffman</cp:lastModifiedBy>
  <dcterms:modified xsi:type="dcterms:W3CDTF">2018-09-18T10:05:00Z</dcterms:modified>
  <cp:revision>1</cp:revision>
  <dc:subject/>
  <dc:title>US-MSN-Pot-Human Effigy</dc:title>
</cp:coreProperties>
</file>